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68BF7939"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149A6E87" w14:textId="77777777" w:rsidR="00F65AA0" w:rsidRDefault="00F65AA0" w:rsidP="0068187B">
      <w:pPr>
        <w:widowControl w:val="0"/>
        <w:overflowPunct w:val="0"/>
        <w:autoSpaceDE w:val="0"/>
        <w:autoSpaceDN w:val="0"/>
        <w:adjustRightInd w:val="0"/>
        <w:spacing w:after="0" w:line="276" w:lineRule="auto"/>
        <w:jc w:val="both"/>
        <w:textAlignment w:val="baseline"/>
        <w:rPr>
          <w:rFonts w:ascii="Verdana" w:hAnsi="Verdana"/>
        </w:rPr>
      </w:pPr>
    </w:p>
    <w:p w14:paraId="1126BBFA" w14:textId="3E1B751C" w:rsidR="00F65AA0" w:rsidRPr="00F65AA0" w:rsidRDefault="00F65AA0" w:rsidP="00F65AA0">
      <w:pPr>
        <w:widowControl w:val="0"/>
        <w:overflowPunct w:val="0"/>
        <w:autoSpaceDE w:val="0"/>
        <w:autoSpaceDN w:val="0"/>
        <w:adjustRightInd w:val="0"/>
        <w:spacing w:after="0" w:line="276" w:lineRule="auto"/>
        <w:jc w:val="both"/>
        <w:textAlignment w:val="baseline"/>
        <w:rPr>
          <w:rFonts w:ascii="Verdana" w:hAnsi="Verdana"/>
          <w:b/>
        </w:rPr>
      </w:pPr>
      <w:r w:rsidRPr="00F65AA0">
        <w:rPr>
          <w:rFonts w:ascii="Verdana" w:hAnsi="Verdana"/>
          <w:b/>
        </w:rPr>
        <w:t xml:space="preserve">ČÍSLO ISPROFOND: </w:t>
      </w:r>
      <w:r w:rsidRPr="00F65AA0">
        <w:rPr>
          <w:rFonts w:ascii="Verdana" w:hAnsi="Verdana"/>
          <w:b/>
        </w:rPr>
        <w:tab/>
      </w:r>
      <w:r w:rsidRPr="00F65AA0">
        <w:rPr>
          <w:rFonts w:ascii="Verdana" w:hAnsi="Verdana"/>
          <w:b/>
          <w:bCs/>
        </w:rPr>
        <w:t>5003540084</w:t>
      </w:r>
      <w:bookmarkStart w:id="0" w:name="_GoBack"/>
      <w:bookmarkEnd w:id="0"/>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E43753A"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E86B59" w:rsidRPr="00E86B59">
        <w:rPr>
          <w:rFonts w:eastAsia="Times New Roman" w:cs="Times New Roman"/>
          <w:b/>
          <w:lang w:eastAsia="cs-CZ"/>
        </w:rPr>
        <w:t>Nákup zahradní techniky pro údržbu zeleně pro OŘ PHA 2024</w:t>
      </w:r>
      <w:r w:rsidRPr="006062F9">
        <w:rPr>
          <w:rFonts w:eastAsia="Times New Roman" w:cs="Times New Roman"/>
          <w:lang w:eastAsia="cs-CZ"/>
        </w:rPr>
        <w:t xml:space="preserve">“, č. j. veřejné zakázky: </w:t>
      </w:r>
      <w:r w:rsidR="00607892">
        <w:rPr>
          <w:rFonts w:eastAsia="Times New Roman" w:cs="Times New Roman"/>
          <w:lang w:eastAsia="cs-CZ"/>
        </w:rPr>
        <w:t>15064/2024-SŽ-OŘ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BB3FB6" w:rsidRDefault="00717E19" w:rsidP="0068187B">
      <w:pPr>
        <w:spacing w:after="0"/>
        <w:jc w:val="both"/>
        <w:rPr>
          <w:sz w:val="6"/>
          <w:szCs w:val="6"/>
        </w:rPr>
      </w:pPr>
    </w:p>
    <w:p w14:paraId="1CC662D5" w14:textId="5A55B8C1" w:rsidR="00D85C5B" w:rsidRPr="00115BA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15BA3">
        <w:rPr>
          <w:rFonts w:eastAsia="Times New Roman" w:cs="Times New Roman"/>
          <w:lang w:eastAsia="cs-CZ"/>
        </w:rPr>
        <w:t xml:space="preserve">Předmětem koupě je </w:t>
      </w:r>
      <w:r w:rsidR="0025714B" w:rsidRPr="00115BA3">
        <w:rPr>
          <w:rFonts w:eastAsia="Times New Roman" w:cs="Times New Roman"/>
          <w:lang w:eastAsia="cs-CZ"/>
        </w:rPr>
        <w:t>2 ks Svahových sekaček a 2 ks Mulčovačů</w:t>
      </w:r>
      <w:r w:rsidRPr="00115BA3">
        <w:rPr>
          <w:rFonts w:eastAsia="Times New Roman" w:cs="Times New Roman"/>
          <w:lang w:eastAsia="cs-CZ"/>
        </w:rPr>
        <w:t>.</w:t>
      </w:r>
    </w:p>
    <w:p w14:paraId="01CA54BB" w14:textId="2D028EB0" w:rsidR="00D85C5B" w:rsidRPr="00115BA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15BA3">
        <w:rPr>
          <w:rFonts w:eastAsia="Times New Roman" w:cs="Times New Roman"/>
          <w:lang w:eastAsia="cs-CZ"/>
        </w:rPr>
        <w:t xml:space="preserve">Přesná specifikace je uvedena v příloze č. </w:t>
      </w:r>
      <w:r w:rsidR="0025714B" w:rsidRPr="00115BA3">
        <w:rPr>
          <w:rFonts w:eastAsia="Times New Roman" w:cs="Times New Roman"/>
          <w:lang w:eastAsia="cs-CZ"/>
        </w:rPr>
        <w:t xml:space="preserve">2 </w:t>
      </w:r>
      <w:r w:rsidRPr="00115BA3">
        <w:rPr>
          <w:rFonts w:eastAsia="Times New Roman" w:cs="Times New Roman"/>
          <w:lang w:eastAsia="cs-CZ"/>
        </w:rPr>
        <w:t xml:space="preserve">této </w:t>
      </w:r>
      <w:r w:rsidR="008B1447" w:rsidRPr="00115BA3">
        <w:rPr>
          <w:rFonts w:eastAsia="Times New Roman" w:cs="Times New Roman"/>
          <w:lang w:eastAsia="cs-CZ"/>
        </w:rPr>
        <w:t>Sml</w:t>
      </w:r>
      <w:r w:rsidRPr="00115BA3">
        <w:rPr>
          <w:rFonts w:eastAsia="Times New Roman" w:cs="Times New Roman"/>
          <w:lang w:eastAsia="cs-CZ"/>
        </w:rPr>
        <w:t>ouvy.</w:t>
      </w:r>
    </w:p>
    <w:p w14:paraId="4A214B1F" w14:textId="389D95E0" w:rsidR="00D85C5B" w:rsidRPr="00115BA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15BA3">
        <w:rPr>
          <w:rFonts w:eastAsia="Times New Roman" w:cs="Times New Roman"/>
          <w:lang w:eastAsia="cs-CZ"/>
        </w:rPr>
        <w:t>Předmět koupě musí splňovat podmínky stanovené právními předpisy, normami ČSN, technickými normami, uvedenými v příloze č</w:t>
      </w:r>
      <w:r w:rsidR="0025714B" w:rsidRPr="00115BA3">
        <w:rPr>
          <w:rFonts w:eastAsia="Times New Roman" w:cs="Times New Roman"/>
          <w:lang w:eastAsia="cs-CZ"/>
        </w:rPr>
        <w:t xml:space="preserve">. 2 </w:t>
      </w:r>
      <w:r w:rsidRPr="00115BA3">
        <w:rPr>
          <w:rFonts w:eastAsia="Times New Roman" w:cs="Times New Roman"/>
          <w:lang w:eastAsia="cs-CZ"/>
        </w:rPr>
        <w:t xml:space="preserve">této </w:t>
      </w:r>
      <w:r w:rsidR="008B1447" w:rsidRPr="00115BA3">
        <w:rPr>
          <w:rFonts w:eastAsia="Times New Roman" w:cs="Times New Roman"/>
          <w:lang w:eastAsia="cs-CZ"/>
        </w:rPr>
        <w:t>Sml</w:t>
      </w:r>
      <w:r w:rsidRPr="00115BA3">
        <w:rPr>
          <w:rFonts w:eastAsia="Times New Roman" w:cs="Times New Roman"/>
          <w:lang w:eastAsia="cs-CZ"/>
        </w:rPr>
        <w:t>ouvy.</w:t>
      </w:r>
    </w:p>
    <w:p w14:paraId="46F1124F" w14:textId="2C1185C9" w:rsidR="00D85C5B" w:rsidRPr="00115BA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15BA3">
        <w:rPr>
          <w:rFonts w:eastAsia="Times New Roman" w:cs="Times New Roman"/>
          <w:lang w:eastAsia="cs-CZ"/>
        </w:rPr>
        <w:t>Jakost ani provedení Předmětu koupě není určeno vzorkem ani předlohou.</w:t>
      </w:r>
    </w:p>
    <w:p w14:paraId="37462DC3" w14:textId="506D93D4" w:rsidR="00E60DBC" w:rsidRDefault="00E60DBC" w:rsidP="00BB3FB6">
      <w:pPr>
        <w:pStyle w:val="Nadpis1"/>
        <w:numPr>
          <w:ilvl w:val="0"/>
          <w:numId w:val="23"/>
        </w:numPr>
        <w:spacing w:line="276" w:lineRule="auto"/>
        <w:ind w:left="357" w:hanging="357"/>
        <w:jc w:val="both"/>
        <w:rPr>
          <w:rFonts w:eastAsia="Times New Roman"/>
          <w:lang w:eastAsia="cs-CZ"/>
        </w:rPr>
      </w:pPr>
      <w:r w:rsidRPr="00E60DBC">
        <w:rPr>
          <w:rFonts w:eastAsia="Times New Roman"/>
          <w:lang w:eastAsia="cs-CZ"/>
        </w:rPr>
        <w:t>Kupní cena předmětu koupě</w:t>
      </w:r>
    </w:p>
    <w:p w14:paraId="4A3E70EF" w14:textId="77777777" w:rsidR="00717E19" w:rsidRPr="00BB3FB6" w:rsidRDefault="00717E19" w:rsidP="00BB3FB6">
      <w:pPr>
        <w:spacing w:after="0" w:line="276" w:lineRule="auto"/>
        <w:jc w:val="both"/>
        <w:rPr>
          <w:sz w:val="6"/>
          <w:szCs w:val="6"/>
          <w:lang w:eastAsia="cs-CZ"/>
        </w:rPr>
      </w:pPr>
    </w:p>
    <w:p w14:paraId="5E5CE2AD" w14:textId="24ADF349" w:rsidR="008B2F5B" w:rsidRPr="001C4435" w:rsidRDefault="008B2F5B" w:rsidP="00BB3FB6">
      <w:pPr>
        <w:pStyle w:val="Odstavecseseznamem"/>
        <w:widowControl w:val="0"/>
        <w:numPr>
          <w:ilvl w:val="1"/>
          <w:numId w:val="23"/>
        </w:numPr>
        <w:spacing w:after="0" w:line="276" w:lineRule="auto"/>
        <w:ind w:left="708" w:hanging="714"/>
        <w:jc w:val="both"/>
        <w:rPr>
          <w:rFonts w:eastAsia="Times New Roman" w:cs="Times New Roman"/>
          <w:lang w:eastAsia="cs-CZ"/>
        </w:rPr>
      </w:pPr>
      <w:r w:rsidRPr="001C4435">
        <w:t xml:space="preserve">Cena předmětu koupě je uvedena v příloze č. </w:t>
      </w:r>
      <w:r w:rsidR="001C4435" w:rsidRPr="001C4435">
        <w:rPr>
          <w:rFonts w:eastAsia="Times New Roman" w:cs="Times New Roman"/>
          <w:lang w:eastAsia="cs-CZ"/>
        </w:rPr>
        <w:t>3</w:t>
      </w:r>
      <w:r w:rsidRPr="001C4435">
        <w:t xml:space="preserve"> této Smlouvy.</w:t>
      </w:r>
    </w:p>
    <w:p w14:paraId="7725C329" w14:textId="66C4D09F" w:rsidR="00782A52" w:rsidRPr="001C4435"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C4435">
        <w:rPr>
          <w:rFonts w:eastAsia="Times New Roman" w:cs="Times New Roman"/>
          <w:lang w:eastAsia="cs-CZ"/>
        </w:rPr>
        <w:t xml:space="preserve">Kupní cena bude uhrazena na základě předávacího protokolu podepsaného oběma </w:t>
      </w:r>
      <w:r w:rsidR="008B1447" w:rsidRPr="001C4435">
        <w:rPr>
          <w:rFonts w:eastAsia="Times New Roman" w:cs="Times New Roman"/>
          <w:lang w:eastAsia="cs-CZ"/>
        </w:rPr>
        <w:t>Sml</w:t>
      </w:r>
      <w:r w:rsidRPr="001C4435">
        <w:rPr>
          <w:rFonts w:eastAsia="Times New Roman" w:cs="Times New Roman"/>
          <w:lang w:eastAsia="cs-CZ"/>
        </w:rPr>
        <w:t>uvními stranami</w:t>
      </w:r>
      <w:r w:rsidR="001C4435" w:rsidRPr="001C4435">
        <w:rPr>
          <w:rFonts w:eastAsia="Times New Roman" w:cs="Times New Roman"/>
          <w:lang w:eastAsia="cs-CZ"/>
        </w:rPr>
        <w:t xml:space="preserve"> nebo </w:t>
      </w:r>
      <w:r w:rsidR="002B20CA" w:rsidRPr="001C4435">
        <w:rPr>
          <w:rFonts w:eastAsia="Times New Roman" w:cs="Times New Roman"/>
          <w:lang w:eastAsia="cs-CZ"/>
        </w:rPr>
        <w:t>dodacího listu.</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37954E98" w14:textId="459A491A" w:rsidR="00D85C5B" w:rsidRPr="009A612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A6125">
        <w:rPr>
          <w:rFonts w:eastAsia="Times New Roman" w:cs="Times New Roman"/>
          <w:lang w:eastAsia="cs-CZ"/>
        </w:rPr>
        <w:t>Místo dodání</w:t>
      </w:r>
      <w:r w:rsidR="009A6125" w:rsidRPr="009A6125">
        <w:rPr>
          <w:rFonts w:eastAsia="Times New Roman" w:cs="Times New Roman"/>
          <w:lang w:eastAsia="cs-CZ"/>
        </w:rPr>
        <w:t xml:space="preserve"> je Oblastní ředitelství Praha:</w:t>
      </w:r>
    </w:p>
    <w:p w14:paraId="2D3D9D4C" w14:textId="77777777" w:rsidR="009A6125" w:rsidRPr="009A6125" w:rsidRDefault="009A6125" w:rsidP="009A6125">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sidRPr="009A6125">
        <w:rPr>
          <w:rFonts w:eastAsia="Times New Roman" w:cs="Times New Roman"/>
          <w:lang w:eastAsia="cs-CZ"/>
        </w:rPr>
        <w:t>TO Praha Vršovice</w:t>
      </w:r>
      <w:r w:rsidRPr="009A6125">
        <w:rPr>
          <w:rFonts w:eastAsia="Times New Roman" w:cs="Times New Roman"/>
          <w:lang w:eastAsia="cs-CZ"/>
        </w:rPr>
        <w:tab/>
      </w:r>
      <w:r w:rsidRPr="009A6125">
        <w:rPr>
          <w:rFonts w:eastAsia="Times New Roman" w:cs="Times New Roman"/>
          <w:lang w:eastAsia="cs-CZ"/>
        </w:rPr>
        <w:tab/>
        <w:t>1 ks – Svahová sekačka</w:t>
      </w:r>
    </w:p>
    <w:p w14:paraId="2FC82C13" w14:textId="77777777" w:rsidR="009A6125" w:rsidRPr="009A6125" w:rsidRDefault="009A6125" w:rsidP="009A6125">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t>GPS: 50°03'51.6"N 14°27'50.7"E</w:t>
      </w:r>
    </w:p>
    <w:p w14:paraId="2D4FA8F9" w14:textId="77777777" w:rsidR="009A6125" w:rsidRPr="009A6125" w:rsidRDefault="009A6125" w:rsidP="009A6125">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sidRPr="009A6125">
        <w:rPr>
          <w:rFonts w:eastAsia="Times New Roman" w:cs="Times New Roman"/>
          <w:lang w:eastAsia="cs-CZ"/>
        </w:rPr>
        <w:t>TO Kralupy nad Vltavou</w:t>
      </w:r>
      <w:r w:rsidRPr="009A6125">
        <w:rPr>
          <w:rFonts w:eastAsia="Times New Roman" w:cs="Times New Roman"/>
          <w:lang w:eastAsia="cs-CZ"/>
        </w:rPr>
        <w:tab/>
        <w:t>1 ks – Svahová sekačka</w:t>
      </w:r>
    </w:p>
    <w:p w14:paraId="64122AA7" w14:textId="7E6E3283" w:rsidR="009A6125" w:rsidRPr="009A6125" w:rsidRDefault="009A6125" w:rsidP="009A6125">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t>GPS: 50°14'09.3"N 14°19'39.5"E</w:t>
      </w:r>
    </w:p>
    <w:p w14:paraId="27FB2C79" w14:textId="298BF15A" w:rsidR="009A6125" w:rsidRPr="009A6125" w:rsidRDefault="009A6125" w:rsidP="009A6125">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sidRPr="009A6125">
        <w:rPr>
          <w:rFonts w:eastAsia="Times New Roman" w:cs="Times New Roman"/>
          <w:lang w:eastAsia="cs-CZ"/>
        </w:rPr>
        <w:t>TO Praha Vršovice</w:t>
      </w:r>
      <w:r w:rsidRPr="009A6125">
        <w:rPr>
          <w:rFonts w:eastAsia="Times New Roman" w:cs="Times New Roman"/>
          <w:lang w:eastAsia="cs-CZ"/>
        </w:rPr>
        <w:tab/>
      </w:r>
      <w:r w:rsidRPr="009A6125">
        <w:rPr>
          <w:rFonts w:eastAsia="Times New Roman" w:cs="Times New Roman"/>
          <w:lang w:eastAsia="cs-CZ"/>
        </w:rPr>
        <w:tab/>
        <w:t>1 ks – Mulčovač</w:t>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Pr="009A6125">
        <w:rPr>
          <w:rFonts w:eastAsia="Times New Roman" w:cs="Times New Roman"/>
          <w:lang w:eastAsia="cs-CZ"/>
        </w:rPr>
        <w:t>GPS: 50°03'51.6"N 14°27'50.7"E</w:t>
      </w:r>
    </w:p>
    <w:p w14:paraId="05539E2C" w14:textId="0AEF9A77" w:rsidR="009A6125" w:rsidRPr="006207FB" w:rsidRDefault="009A6125" w:rsidP="009A6125">
      <w:pPr>
        <w:widowControl w:val="0"/>
        <w:overflowPunct w:val="0"/>
        <w:autoSpaceDE w:val="0"/>
        <w:autoSpaceDN w:val="0"/>
        <w:adjustRightInd w:val="0"/>
        <w:spacing w:after="0" w:line="276" w:lineRule="auto"/>
        <w:ind w:left="709"/>
        <w:contextualSpacing/>
        <w:jc w:val="both"/>
        <w:textAlignment w:val="baseline"/>
        <w:rPr>
          <w:rFonts w:eastAsia="Times New Roman" w:cs="Times New Roman"/>
          <w:highlight w:val="green"/>
          <w:lang w:eastAsia="cs-CZ"/>
        </w:rPr>
      </w:pPr>
      <w:r w:rsidRPr="009A6125">
        <w:rPr>
          <w:rFonts w:eastAsia="Times New Roman" w:cs="Times New Roman"/>
          <w:lang w:eastAsia="cs-CZ"/>
        </w:rPr>
        <w:t>TO Nymburk</w:t>
      </w:r>
      <w:r w:rsidRPr="009A6125">
        <w:rPr>
          <w:rFonts w:eastAsia="Times New Roman" w:cs="Times New Roman"/>
          <w:lang w:eastAsia="cs-CZ"/>
        </w:rPr>
        <w:tab/>
      </w:r>
      <w:r w:rsidRPr="009A6125">
        <w:rPr>
          <w:rFonts w:eastAsia="Times New Roman" w:cs="Times New Roman"/>
          <w:lang w:eastAsia="cs-CZ"/>
        </w:rPr>
        <w:tab/>
        <w:t xml:space="preserve">           1 ks – Mulčovač</w:t>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sidRPr="009A6125">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Pr="009A6125">
        <w:rPr>
          <w:rFonts w:eastAsia="Times New Roman" w:cs="Times New Roman"/>
          <w:lang w:eastAsia="cs-CZ"/>
        </w:rPr>
        <w:t>GPS: 50°11'32.9"N 15°03'11.5"E</w:t>
      </w:r>
    </w:p>
    <w:p w14:paraId="53B1A76F" w14:textId="069F4ECD" w:rsidR="00BE2F45" w:rsidRPr="00884625"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84625">
        <w:rPr>
          <w:rFonts w:eastAsia="Times New Roman" w:cs="Times New Roman"/>
          <w:lang w:eastAsia="cs-CZ"/>
        </w:rPr>
        <w:t xml:space="preserve">Předmět koupě bude dodán do </w:t>
      </w:r>
      <w:r w:rsidR="00884625" w:rsidRPr="00884625">
        <w:rPr>
          <w:rFonts w:eastAsia="Times New Roman" w:cs="Times New Roman"/>
          <w:lang w:eastAsia="cs-CZ"/>
        </w:rPr>
        <w:t>31. srpna 2024</w:t>
      </w:r>
    </w:p>
    <w:p w14:paraId="4D5A70EC" w14:textId="77777777" w:rsidR="00D85C5B" w:rsidRPr="00423B74" w:rsidRDefault="00D85C5B" w:rsidP="0068187B">
      <w:pPr>
        <w:pStyle w:val="Nadpis1"/>
        <w:numPr>
          <w:ilvl w:val="0"/>
          <w:numId w:val="23"/>
        </w:numPr>
        <w:spacing w:line="276" w:lineRule="auto"/>
        <w:jc w:val="both"/>
        <w:rPr>
          <w:rFonts w:eastAsia="Times New Roman"/>
          <w:lang w:eastAsia="cs-CZ"/>
        </w:rPr>
      </w:pPr>
      <w:r w:rsidRPr="00423B74">
        <w:rPr>
          <w:rFonts w:eastAsia="Times New Roman"/>
          <w:lang w:eastAsia="cs-CZ"/>
        </w:rPr>
        <w:t>Přeprava předmětu koupě</w:t>
      </w:r>
    </w:p>
    <w:p w14:paraId="659ECFAB" w14:textId="77777777" w:rsidR="00717E19" w:rsidRPr="00423B7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23B74">
        <w:rPr>
          <w:rFonts w:eastAsia="Times New Roman" w:cs="Times New Roman"/>
          <w:lang w:eastAsia="cs-CZ"/>
        </w:rPr>
        <w:t>Pojištění se nevyžaduje.</w:t>
      </w:r>
      <w:r w:rsidR="00717E19" w:rsidRPr="00423B74">
        <w:rPr>
          <w:rFonts w:eastAsia="Times New Roman" w:cs="Times New Roman"/>
          <w:lang w:eastAsia="cs-CZ"/>
        </w:rPr>
        <w:t xml:space="preserve"> </w:t>
      </w:r>
    </w:p>
    <w:p w14:paraId="3776C210" w14:textId="77777777" w:rsidR="00D85C5B" w:rsidRPr="00423B7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23B74">
        <w:rPr>
          <w:rFonts w:eastAsia="Times New Roman" w:cs="Times New Roman"/>
          <w:lang w:eastAsia="cs-CZ"/>
        </w:rPr>
        <w:t>Speciální balení se nevyžaduje.</w:t>
      </w:r>
    </w:p>
    <w:p w14:paraId="3324C4C2" w14:textId="77777777" w:rsidR="00D85C5B" w:rsidRPr="00423B74" w:rsidRDefault="00D85C5B" w:rsidP="0068187B">
      <w:pPr>
        <w:pStyle w:val="Nadpis1"/>
        <w:numPr>
          <w:ilvl w:val="0"/>
          <w:numId w:val="23"/>
        </w:numPr>
        <w:spacing w:line="276" w:lineRule="auto"/>
        <w:jc w:val="both"/>
        <w:rPr>
          <w:rFonts w:eastAsia="Times New Roman"/>
          <w:lang w:eastAsia="cs-CZ"/>
        </w:rPr>
      </w:pPr>
      <w:r w:rsidRPr="00423B74">
        <w:rPr>
          <w:rFonts w:eastAsia="Times New Roman"/>
          <w:lang w:eastAsia="cs-CZ"/>
        </w:rPr>
        <w:t>Listiny (doklady)</w:t>
      </w:r>
    </w:p>
    <w:p w14:paraId="3F351793" w14:textId="48ECA69F" w:rsidR="00AE4595" w:rsidRPr="00423B74" w:rsidRDefault="00423B7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23B74">
        <w:rPr>
          <w:rFonts w:eastAsia="Times New Roman" w:cs="Times New Roman"/>
          <w:lang w:eastAsia="cs-CZ"/>
        </w:rPr>
        <w:t>Neobsazeno</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CE06D7"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CE06D7">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této Smlouvy. </w:t>
      </w:r>
    </w:p>
    <w:p w14:paraId="5CD37451" w14:textId="2D66F146"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vymaže tuto položku ze seznamu příloh).</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BE143E" w:rsidRDefault="00D85C5B" w:rsidP="0068187B">
      <w:pPr>
        <w:pStyle w:val="Odstavecseseznamem"/>
        <w:numPr>
          <w:ilvl w:val="1"/>
          <w:numId w:val="23"/>
        </w:numPr>
        <w:spacing w:line="276" w:lineRule="auto"/>
        <w:ind w:left="709" w:hanging="715"/>
        <w:jc w:val="both"/>
        <w:rPr>
          <w:lang w:eastAsia="cs-CZ"/>
        </w:rPr>
      </w:pPr>
      <w:r w:rsidRPr="00BE143E">
        <w:rPr>
          <w:lang w:eastAsia="cs-CZ"/>
        </w:rPr>
        <w:t xml:space="preserve">Kontaktními osobami </w:t>
      </w:r>
      <w:r w:rsidR="008B1447" w:rsidRPr="00BE143E">
        <w:rPr>
          <w:lang w:eastAsia="cs-CZ"/>
        </w:rPr>
        <w:t>Sml</w:t>
      </w:r>
      <w:r w:rsidRPr="00BE143E">
        <w:rPr>
          <w:lang w:eastAsia="cs-CZ"/>
        </w:rPr>
        <w:t>uvních stran jsou</w:t>
      </w:r>
    </w:p>
    <w:p w14:paraId="0E5DE76C" w14:textId="77777777" w:rsidR="00BE143E" w:rsidRPr="00BE143E" w:rsidRDefault="00D85C5B" w:rsidP="00E46AF7">
      <w:pPr>
        <w:pStyle w:val="Odstavecseseznamem"/>
        <w:numPr>
          <w:ilvl w:val="2"/>
          <w:numId w:val="27"/>
        </w:numPr>
        <w:spacing w:line="276" w:lineRule="auto"/>
        <w:jc w:val="both"/>
        <w:rPr>
          <w:rFonts w:eastAsia="Times New Roman" w:cs="Times New Roman"/>
          <w:lang w:eastAsia="cs-CZ"/>
        </w:rPr>
      </w:pPr>
      <w:r w:rsidRPr="00BE143E">
        <w:rPr>
          <w:rFonts w:eastAsia="Times New Roman" w:cs="Times New Roman"/>
          <w:lang w:eastAsia="cs-CZ"/>
        </w:rPr>
        <w:t xml:space="preserve">za Kupujícího </w:t>
      </w:r>
    </w:p>
    <w:p w14:paraId="04A8EF3F" w14:textId="4C636E31" w:rsidR="00D85C5B" w:rsidRPr="00D200DA" w:rsidRDefault="00D85C5B" w:rsidP="00BE143E">
      <w:pPr>
        <w:pStyle w:val="Odstavecseseznamem"/>
        <w:spacing w:line="276" w:lineRule="auto"/>
        <w:ind w:left="1080"/>
        <w:jc w:val="both"/>
        <w:rPr>
          <w:rFonts w:eastAsia="Times New Roman" w:cs="Times New Roman"/>
          <w:lang w:eastAsia="cs-CZ"/>
        </w:rPr>
      </w:pPr>
      <w:r w:rsidRPr="00D200DA">
        <w:rPr>
          <w:rFonts w:eastAsia="Times New Roman" w:cs="Times New Roman"/>
          <w:lang w:eastAsia="cs-CZ"/>
        </w:rPr>
        <w:t xml:space="preserve">p. </w:t>
      </w:r>
      <w:r w:rsidR="00BE143E" w:rsidRPr="00D200DA">
        <w:rPr>
          <w:rFonts w:eastAsia="Times New Roman" w:cs="Times New Roman"/>
          <w:lang w:eastAsia="cs-CZ"/>
        </w:rPr>
        <w:t>Lukáš Kot</w:t>
      </w:r>
      <w:r w:rsidRPr="00D200DA">
        <w:rPr>
          <w:rFonts w:eastAsia="Times New Roman" w:cs="Times New Roman"/>
          <w:lang w:eastAsia="cs-CZ"/>
        </w:rPr>
        <w:t xml:space="preserve"> , tel. </w:t>
      </w:r>
      <w:r w:rsidR="00BE143E" w:rsidRPr="00D200DA">
        <w:rPr>
          <w:rFonts w:eastAsia="Times New Roman" w:cs="Times New Roman"/>
          <w:lang w:eastAsia="cs-CZ"/>
        </w:rPr>
        <w:t>+420 725 547 707</w:t>
      </w:r>
      <w:r w:rsidRPr="00D200DA">
        <w:rPr>
          <w:rFonts w:eastAsia="Times New Roman" w:cs="Times New Roman"/>
          <w:lang w:eastAsia="cs-CZ"/>
        </w:rPr>
        <w:t xml:space="preserve"> , email</w:t>
      </w:r>
      <w:r w:rsidR="00BE143E" w:rsidRPr="00D200DA">
        <w:rPr>
          <w:rFonts w:eastAsia="Times New Roman" w:cs="Times New Roman"/>
          <w:lang w:eastAsia="cs-CZ"/>
        </w:rPr>
        <w:t>:</w:t>
      </w:r>
      <w:r w:rsidRPr="00D200DA">
        <w:rPr>
          <w:rFonts w:eastAsia="Times New Roman" w:cs="Times New Roman"/>
          <w:lang w:eastAsia="cs-CZ"/>
        </w:rPr>
        <w:t xml:space="preserve"> </w:t>
      </w:r>
      <w:r w:rsidR="00BE143E" w:rsidRPr="00D200DA">
        <w:rPr>
          <w:rFonts w:eastAsia="Times New Roman" w:cs="Times New Roman"/>
          <w:lang w:eastAsia="cs-CZ"/>
        </w:rPr>
        <w:t>KotL@spravazeleznic.cz</w:t>
      </w:r>
      <w:r w:rsidRPr="00D200DA">
        <w:rPr>
          <w:rFonts w:eastAsia="Times New Roman" w:cs="Times New Roman"/>
          <w:lang w:eastAsia="cs-CZ"/>
        </w:rPr>
        <w:t xml:space="preserve"> ,</w:t>
      </w:r>
    </w:p>
    <w:p w14:paraId="1D871A02" w14:textId="2D8F6CAD" w:rsidR="00BE143E" w:rsidRDefault="00BE143E" w:rsidP="00BE143E">
      <w:pPr>
        <w:pStyle w:val="Odstavecseseznamem"/>
        <w:spacing w:line="276" w:lineRule="auto"/>
        <w:ind w:left="1080"/>
        <w:jc w:val="both"/>
        <w:rPr>
          <w:rFonts w:eastAsia="Times New Roman" w:cs="Times New Roman"/>
          <w:lang w:eastAsia="cs-CZ"/>
        </w:rPr>
      </w:pPr>
      <w:r w:rsidRPr="00D200DA">
        <w:rPr>
          <w:rFonts w:eastAsia="Times New Roman" w:cs="Times New Roman"/>
          <w:lang w:eastAsia="cs-CZ"/>
        </w:rPr>
        <w:t xml:space="preserve">p. Tomáš Dědek, tel. +420 725 721 225, email: </w:t>
      </w:r>
      <w:hyperlink r:id="rId11" w:history="1">
        <w:r w:rsidR="00885110" w:rsidRPr="00CB16BA">
          <w:rPr>
            <w:rStyle w:val="Hypertextovodkaz"/>
            <w:rFonts w:eastAsia="Times New Roman" w:cs="Times New Roman"/>
            <w:lang w:eastAsia="cs-CZ"/>
          </w:rPr>
          <w:t>Dedek@spravazeleznic.cz</w:t>
        </w:r>
      </w:hyperlink>
    </w:p>
    <w:p w14:paraId="47B51CC5" w14:textId="499FA1E5" w:rsidR="00885110" w:rsidRDefault="00885110" w:rsidP="00BE143E">
      <w:pPr>
        <w:pStyle w:val="Odstavecseseznamem"/>
        <w:spacing w:line="276" w:lineRule="auto"/>
        <w:ind w:left="1080"/>
        <w:jc w:val="both"/>
        <w:rPr>
          <w:rFonts w:eastAsia="Times New Roman" w:cs="Times New Roman"/>
          <w:lang w:eastAsia="cs-CZ"/>
        </w:rPr>
      </w:pPr>
      <w:r>
        <w:rPr>
          <w:rFonts w:eastAsia="Times New Roman" w:cs="Times New Roman"/>
          <w:lang w:eastAsia="cs-CZ"/>
        </w:rPr>
        <w:t>přejímající osoby</w:t>
      </w:r>
    </w:p>
    <w:p w14:paraId="0C12B452" w14:textId="0D91C848" w:rsidR="00885110" w:rsidRDefault="00885110" w:rsidP="00BE143E">
      <w:pPr>
        <w:pStyle w:val="Odstavecseseznamem"/>
        <w:spacing w:line="276" w:lineRule="auto"/>
        <w:ind w:left="1080"/>
        <w:jc w:val="both"/>
        <w:rPr>
          <w:rFonts w:eastAsia="Times New Roman" w:cs="Times New Roman"/>
          <w:lang w:eastAsia="cs-CZ"/>
        </w:rPr>
      </w:pPr>
      <w:r>
        <w:rPr>
          <w:rFonts w:eastAsia="Times New Roman" w:cs="Times New Roman"/>
          <w:lang w:eastAsia="cs-CZ"/>
        </w:rPr>
        <w:t>TO Vršovice – p. Martin Oubram, Bc., tel. +420 725 069 126</w:t>
      </w:r>
    </w:p>
    <w:p w14:paraId="21E70BEF" w14:textId="5F40746E" w:rsidR="00885110" w:rsidRDefault="00885110" w:rsidP="00BE143E">
      <w:pPr>
        <w:pStyle w:val="Odstavecseseznamem"/>
        <w:spacing w:line="276" w:lineRule="auto"/>
        <w:ind w:left="1080"/>
        <w:jc w:val="both"/>
        <w:rPr>
          <w:rFonts w:eastAsia="Times New Roman" w:cs="Times New Roman"/>
          <w:lang w:eastAsia="cs-CZ"/>
        </w:rPr>
      </w:pPr>
      <w:r>
        <w:rPr>
          <w:rFonts w:eastAsia="Times New Roman" w:cs="Times New Roman"/>
          <w:lang w:eastAsia="cs-CZ"/>
        </w:rPr>
        <w:t>TO Kralupy nad Vltavou – p. Ladislav Gürtler, tel. +420 602 137 398</w:t>
      </w:r>
    </w:p>
    <w:p w14:paraId="4C4246C4" w14:textId="325F0EA4" w:rsidR="00885110" w:rsidRPr="00D200DA" w:rsidRDefault="00885110" w:rsidP="00BE143E">
      <w:pPr>
        <w:pStyle w:val="Odstavecseseznamem"/>
        <w:spacing w:line="276" w:lineRule="auto"/>
        <w:ind w:left="1080"/>
        <w:jc w:val="both"/>
        <w:rPr>
          <w:rFonts w:eastAsia="Times New Roman" w:cs="Times New Roman"/>
          <w:lang w:eastAsia="cs-CZ"/>
        </w:rPr>
      </w:pPr>
      <w:r>
        <w:rPr>
          <w:rFonts w:eastAsia="Times New Roman" w:cs="Times New Roman"/>
          <w:lang w:eastAsia="cs-CZ"/>
        </w:rPr>
        <w:t xml:space="preserve">TO Nymburk – p. Aleš Klíma, tel. +420 725 712 </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 xml:space="preserve">Smluvní strany berou na vědomí, že tato Smlouva podléhá uveřejnění v registru smluv </w:t>
      </w:r>
      <w:r w:rsidRPr="009146AF">
        <w:lastRenderedPageBreak/>
        <w:t>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1" w:name="_Hlk147219777"/>
      <w:r w:rsidRPr="0023372A">
        <w:t>MEZINÁRODNÍMI SANKCEMI</w:t>
      </w:r>
      <w:bookmarkEnd w:id="1"/>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0C157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2"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2"/>
    </w:p>
    <w:p w14:paraId="430B0167" w14:textId="77777777" w:rsidR="008B2F5B" w:rsidRPr="00483C85" w:rsidRDefault="008B2F5B" w:rsidP="00B1367D">
      <w:pPr>
        <w:pStyle w:val="11odst"/>
        <w:numPr>
          <w:ilvl w:val="1"/>
          <w:numId w:val="29"/>
        </w:numPr>
      </w:pPr>
      <w:r>
        <w:t xml:space="preserve">Prodávající se dále </w:t>
      </w:r>
      <w:bookmarkStart w:id="3"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w:t>
      </w:r>
      <w:r w:rsidRPr="008D5BA2">
        <w:t>ve 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lastRenderedPageBreak/>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951B0D">
        <w:rPr>
          <w:lang w:eastAsia="cs-CZ"/>
        </w:rPr>
        <w:t>dvou</w:t>
      </w:r>
      <w:r w:rsidR="00791AC7" w:rsidRPr="00E30A6F">
        <w:rPr>
          <w:lang w:eastAsia="cs-CZ"/>
        </w:rPr>
        <w:t xml:space="preserve"> vyhotoveních pro Kupujícího a </w:t>
      </w:r>
      <w:r w:rsidR="00791AC7" w:rsidRPr="00C337B9">
        <w:rPr>
          <w:highlight w:val="yellow"/>
          <w:lang w:eastAsia="cs-CZ"/>
        </w:rPr>
        <w:t>jedno</w:t>
      </w:r>
      <w:r w:rsidR="00C337B9" w:rsidRPr="00C337B9">
        <w:rPr>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DA3683"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DA3683">
        <w:rPr>
          <w:lang w:eastAsia="cs-CZ"/>
        </w:rPr>
        <w:t xml:space="preserve">součástí vyhotovení </w:t>
      </w:r>
      <w:r w:rsidR="00FB5045" w:rsidRPr="00DA3683">
        <w:rPr>
          <w:lang w:eastAsia="cs-CZ"/>
        </w:rPr>
        <w:t>této S</w:t>
      </w:r>
      <w:r w:rsidRPr="00DA3683">
        <w:rPr>
          <w:lang w:eastAsia="cs-CZ"/>
        </w:rPr>
        <w:t>mlouvy, neboť Prodávajícímu již bude obsah Obchodních podmínek známý.</w:t>
      </w:r>
    </w:p>
    <w:p w14:paraId="1B93A962" w14:textId="24B99360" w:rsidR="00D85C5B" w:rsidRPr="00DA3683" w:rsidRDefault="008B1447" w:rsidP="005204F2">
      <w:pPr>
        <w:pStyle w:val="Odstavecseseznamem"/>
        <w:numPr>
          <w:ilvl w:val="1"/>
          <w:numId w:val="23"/>
        </w:numPr>
        <w:spacing w:after="60" w:line="276" w:lineRule="auto"/>
        <w:ind w:left="708" w:hanging="714"/>
        <w:jc w:val="both"/>
        <w:rPr>
          <w:lang w:eastAsia="cs-CZ"/>
        </w:rPr>
      </w:pPr>
      <w:r w:rsidRPr="00DA3683">
        <w:rPr>
          <w:lang w:eastAsia="cs-CZ"/>
        </w:rPr>
        <w:t>Tato S</w:t>
      </w:r>
      <w:r w:rsidR="00D85C5B" w:rsidRPr="00DA3683">
        <w:rPr>
          <w:lang w:eastAsia="cs-CZ"/>
        </w:rPr>
        <w:t xml:space="preserve">mlouva nabývá platnosti okamžikem podpisu poslední ze </w:t>
      </w:r>
      <w:r w:rsidR="00FB5045" w:rsidRPr="00DA3683">
        <w:rPr>
          <w:lang w:eastAsia="cs-CZ"/>
        </w:rPr>
        <w:t>Sml</w:t>
      </w:r>
      <w:r w:rsidR="00D85C5B" w:rsidRPr="00DA3683">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415614AF" w:rsidR="008F2302" w:rsidRPr="00141C0F"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141C0F">
        <w:rPr>
          <w:rFonts w:eastAsia="Times New Roman" w:cs="Times New Roman"/>
          <w:lang w:eastAsia="cs-CZ"/>
        </w:rPr>
        <w:t xml:space="preserve">Příloha č. 1: </w:t>
      </w:r>
      <w:r w:rsidRPr="00141C0F">
        <w:rPr>
          <w:rFonts w:eastAsia="Times New Roman" w:cs="Times New Roman"/>
          <w:lang w:eastAsia="cs-CZ"/>
        </w:rPr>
        <w:tab/>
        <w:t>Obchodní podmínky ke Kupní smlouvě</w:t>
      </w:r>
    </w:p>
    <w:p w14:paraId="459A4A7A" w14:textId="045025AD" w:rsidR="00D85C5B" w:rsidRPr="00141C0F"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141C0F">
        <w:rPr>
          <w:rFonts w:eastAsia="Times New Roman" w:cs="Times New Roman"/>
          <w:lang w:eastAsia="cs-CZ"/>
        </w:rPr>
        <w:t xml:space="preserve">příloha č. </w:t>
      </w:r>
      <w:r w:rsidR="00013A77" w:rsidRPr="00141C0F">
        <w:rPr>
          <w:rFonts w:eastAsia="Times New Roman" w:cs="Times New Roman"/>
          <w:lang w:eastAsia="cs-CZ"/>
        </w:rPr>
        <w:t>2</w:t>
      </w:r>
      <w:r w:rsidRPr="00141C0F">
        <w:rPr>
          <w:rFonts w:eastAsia="Times New Roman" w:cs="Times New Roman"/>
          <w:lang w:eastAsia="cs-CZ"/>
        </w:rPr>
        <w:t>:</w:t>
      </w:r>
      <w:r w:rsidRPr="00141C0F">
        <w:rPr>
          <w:rFonts w:eastAsia="Times New Roman" w:cs="Times New Roman"/>
          <w:lang w:eastAsia="cs-CZ"/>
        </w:rPr>
        <w:tab/>
      </w:r>
      <w:r w:rsidR="00141C0F" w:rsidRPr="00141C0F">
        <w:rPr>
          <w:rFonts w:eastAsia="Times New Roman" w:cs="Times New Roman"/>
          <w:lang w:eastAsia="cs-CZ"/>
        </w:rPr>
        <w:t>Technická specifikace požadavku</w:t>
      </w:r>
    </w:p>
    <w:p w14:paraId="46621F99" w14:textId="16C4C812" w:rsidR="00CC1601" w:rsidRPr="00141C0F" w:rsidRDefault="00CC1601" w:rsidP="00B1367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41C0F">
        <w:rPr>
          <w:rFonts w:eastAsia="Times New Roman" w:cs="Times New Roman"/>
          <w:lang w:eastAsia="cs-CZ"/>
        </w:rPr>
        <w:t xml:space="preserve">příloha č. </w:t>
      </w:r>
      <w:r w:rsidR="00013A77" w:rsidRPr="00141C0F">
        <w:rPr>
          <w:rFonts w:eastAsia="Times New Roman" w:cs="Times New Roman"/>
          <w:lang w:eastAsia="cs-CZ"/>
        </w:rPr>
        <w:t>3</w:t>
      </w:r>
      <w:r w:rsidRPr="00141C0F">
        <w:rPr>
          <w:rFonts w:eastAsia="Times New Roman" w:cs="Times New Roman"/>
          <w:lang w:eastAsia="cs-CZ"/>
        </w:rPr>
        <w:t>:</w:t>
      </w:r>
      <w:r w:rsidRPr="00141C0F">
        <w:rPr>
          <w:rFonts w:eastAsia="Times New Roman" w:cs="Times New Roman"/>
          <w:lang w:eastAsia="cs-CZ"/>
        </w:rPr>
        <w:tab/>
      </w:r>
      <w:r w:rsidR="00141C0F" w:rsidRPr="00141C0F">
        <w:rPr>
          <w:rFonts w:eastAsia="Times New Roman" w:cs="Times New Roman"/>
          <w:lang w:eastAsia="cs-CZ"/>
        </w:rPr>
        <w:t>Nabídkový ceník</w:t>
      </w:r>
    </w:p>
    <w:p w14:paraId="34F310AB" w14:textId="77777777" w:rsidR="00B1367D" w:rsidRPr="000C5DA0" w:rsidRDefault="00B1367D" w:rsidP="00B1367D">
      <w:pPr>
        <w:pStyle w:val="Plohy"/>
        <w:spacing w:before="0" w:after="0"/>
        <w:rPr>
          <w:rFonts w:eastAsia="Times New Roman" w:cs="Times New Roman"/>
          <w:lang w:eastAsia="cs-CZ"/>
        </w:rPr>
      </w:pPr>
      <w:r w:rsidRPr="008A6A1D">
        <w:rPr>
          <w:rFonts w:eastAsia="Times New Roman" w:cs="Times New Roman"/>
          <w:highlight w:val="yellow"/>
          <w:lang w:eastAsia="cs-CZ"/>
        </w:rPr>
        <w:t>příloha č. 4:</w:t>
      </w:r>
      <w:r w:rsidRPr="008A6A1D">
        <w:rPr>
          <w:rFonts w:eastAsia="Times New Roman" w:cs="Times New Roman"/>
          <w:highlight w:val="yellow"/>
          <w:lang w:eastAsia="cs-CZ"/>
        </w:rPr>
        <w:tab/>
        <w:t>Poddodavatelé</w:t>
      </w:r>
    </w:p>
    <w:p w14:paraId="1416137A" w14:textId="23A8F926" w:rsidR="00033414"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6C9DA070" w14:textId="77777777" w:rsidR="00907521" w:rsidRPr="00907521" w:rsidRDefault="00907521" w:rsidP="00907521">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907521">
        <w:rPr>
          <w:rFonts w:eastAsia="Times New Roman" w:cs="Times New Roman"/>
          <w:lang w:eastAsia="cs-CZ"/>
        </w:rPr>
        <w:t>příloha č. 6:     Analýza nebezpečí a hodnocení rizik pracovních činností</w:t>
      </w:r>
    </w:p>
    <w:p w14:paraId="7620CC90" w14:textId="77777777" w:rsidR="00907521" w:rsidRPr="00907521" w:rsidRDefault="00907521" w:rsidP="00907521">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907521">
        <w:rPr>
          <w:rFonts w:eastAsia="Times New Roman" w:cs="Times New Roman"/>
          <w:lang w:eastAsia="cs-CZ"/>
        </w:rPr>
        <w:t>příloha č. 7:</w:t>
      </w:r>
      <w:r w:rsidRPr="00907521">
        <w:rPr>
          <w:rFonts w:eastAsia="Times New Roman" w:cs="Times New Roman"/>
          <w:lang w:eastAsia="cs-CZ"/>
        </w:rPr>
        <w:tab/>
        <w:t>Opatření pro postup v případě anonymního oznámení o NVS</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Pr="005204F2" w:rsidRDefault="00CB3AD5" w:rsidP="0068187B">
      <w:pPr>
        <w:widowControl w:val="0"/>
        <w:spacing w:after="0" w:line="276" w:lineRule="auto"/>
        <w:jc w:val="both"/>
        <w:rPr>
          <w:rFonts w:asciiTheme="majorHAnsi" w:hAnsiTheme="majorHAnsi"/>
          <w:sz w:val="6"/>
          <w:szCs w:val="6"/>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29162A74" w:rsidR="00CB3AD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2C7AC3B3" w:rsidR="00863089" w:rsidRDefault="00863089" w:rsidP="005204F2">
      <w:pPr>
        <w:pStyle w:val="Textbezodsazen"/>
        <w:spacing w:after="0" w:line="276" w:lineRule="auto"/>
      </w:pPr>
      <w:r>
        <w:t>Správa železnic, státní organizace</w:t>
      </w:r>
      <w:r w:rsidDel="00931370">
        <w:t xml:space="preserve"> </w:t>
      </w:r>
    </w:p>
    <w:p w14:paraId="7CB27733" w14:textId="5B56489B" w:rsidR="00BB3FB6" w:rsidRDefault="00BB3FB6" w:rsidP="0068187B">
      <w:pPr>
        <w:pStyle w:val="Textbezodsazen"/>
        <w:spacing w:line="276" w:lineRule="auto"/>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196F0" w16cid:durableId="4F6774FD"/>
  <w16cid:commentId w16cid:paraId="664770CF" w16cid:durableId="7BE25724"/>
  <w16cid:commentId w16cid:paraId="14758E88" w16cid:durableId="5B2DB504"/>
  <w16cid:commentId w16cid:paraId="0426519F" w16cid:durableId="284E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18DA0B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A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AA0">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7EFD9017"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AA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AA0">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2"/>
  </w:num>
  <w:num w:numId="5">
    <w:abstractNumId w:val="12"/>
  </w:num>
  <w:num w:numId="6">
    <w:abstractNumId w:val="9"/>
  </w:num>
  <w:num w:numId="7">
    <w:abstractNumId w:val="16"/>
  </w:num>
  <w:num w:numId="8">
    <w:abstractNumId w:val="21"/>
  </w:num>
  <w:num w:numId="9">
    <w:abstractNumId w:val="24"/>
  </w:num>
  <w:num w:numId="10">
    <w:abstractNumId w:val="18"/>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3"/>
  </w:num>
  <w:num w:numId="24">
    <w:abstractNumId w:val="19"/>
  </w:num>
  <w:num w:numId="25">
    <w:abstractNumId w:val="2"/>
  </w:num>
  <w:num w:numId="26">
    <w:abstractNumId w:val="20"/>
  </w:num>
  <w:num w:numId="27">
    <w:abstractNumId w:val="15"/>
  </w:num>
  <w:num w:numId="28">
    <w:abstractNumId w:val="14"/>
  </w:num>
  <w:num w:numId="29">
    <w:abstractNumId w:val="7"/>
  </w:num>
  <w:num w:numId="30">
    <w:abstractNumId w:val="6"/>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A77"/>
    <w:rsid w:val="00020376"/>
    <w:rsid w:val="00033414"/>
    <w:rsid w:val="00054D01"/>
    <w:rsid w:val="00065284"/>
    <w:rsid w:val="00072C1E"/>
    <w:rsid w:val="00092B31"/>
    <w:rsid w:val="000C1575"/>
    <w:rsid w:val="000C5DA0"/>
    <w:rsid w:val="000D0B07"/>
    <w:rsid w:val="000D1379"/>
    <w:rsid w:val="000D4601"/>
    <w:rsid w:val="000E23A7"/>
    <w:rsid w:val="000E4F4B"/>
    <w:rsid w:val="000F674A"/>
    <w:rsid w:val="0010693F"/>
    <w:rsid w:val="00111360"/>
    <w:rsid w:val="00114472"/>
    <w:rsid w:val="00115BA3"/>
    <w:rsid w:val="00116413"/>
    <w:rsid w:val="001165AF"/>
    <w:rsid w:val="00121885"/>
    <w:rsid w:val="00141C0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435"/>
    <w:rsid w:val="001C4874"/>
    <w:rsid w:val="001E62F8"/>
    <w:rsid w:val="001E7CFF"/>
    <w:rsid w:val="00203507"/>
    <w:rsid w:val="00203BA9"/>
    <w:rsid w:val="00203E3C"/>
    <w:rsid w:val="00203F1E"/>
    <w:rsid w:val="00207DF5"/>
    <w:rsid w:val="0023372A"/>
    <w:rsid w:val="0025714B"/>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23B74"/>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04F2"/>
    <w:rsid w:val="00523EA7"/>
    <w:rsid w:val="005442C8"/>
    <w:rsid w:val="00553375"/>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07892"/>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72F11"/>
    <w:rsid w:val="00884625"/>
    <w:rsid w:val="00885110"/>
    <w:rsid w:val="00886D4B"/>
    <w:rsid w:val="008874D1"/>
    <w:rsid w:val="00893FF1"/>
    <w:rsid w:val="00895406"/>
    <w:rsid w:val="008A3568"/>
    <w:rsid w:val="008B1447"/>
    <w:rsid w:val="008B2F5B"/>
    <w:rsid w:val="008D03B9"/>
    <w:rsid w:val="008D5BA2"/>
    <w:rsid w:val="008D6B46"/>
    <w:rsid w:val="008F18D6"/>
    <w:rsid w:val="008F2302"/>
    <w:rsid w:val="00904780"/>
    <w:rsid w:val="00907521"/>
    <w:rsid w:val="009146AF"/>
    <w:rsid w:val="00922385"/>
    <w:rsid w:val="009223DF"/>
    <w:rsid w:val="00923E73"/>
    <w:rsid w:val="00926B03"/>
    <w:rsid w:val="00926EA5"/>
    <w:rsid w:val="00936091"/>
    <w:rsid w:val="00940D8A"/>
    <w:rsid w:val="009461FB"/>
    <w:rsid w:val="00951B0D"/>
    <w:rsid w:val="00962258"/>
    <w:rsid w:val="009678B7"/>
    <w:rsid w:val="0097556C"/>
    <w:rsid w:val="009768EC"/>
    <w:rsid w:val="009833E1"/>
    <w:rsid w:val="00986E0C"/>
    <w:rsid w:val="009900CE"/>
    <w:rsid w:val="0099128F"/>
    <w:rsid w:val="00992D9C"/>
    <w:rsid w:val="00996CB8"/>
    <w:rsid w:val="009A6125"/>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3FB6"/>
    <w:rsid w:val="00BB519C"/>
    <w:rsid w:val="00BC51D3"/>
    <w:rsid w:val="00BD29AD"/>
    <w:rsid w:val="00BD32CD"/>
    <w:rsid w:val="00BD7E91"/>
    <w:rsid w:val="00BE143E"/>
    <w:rsid w:val="00BE2F45"/>
    <w:rsid w:val="00BE5BC0"/>
    <w:rsid w:val="00C02D0A"/>
    <w:rsid w:val="00C03A6E"/>
    <w:rsid w:val="00C03A71"/>
    <w:rsid w:val="00C14266"/>
    <w:rsid w:val="00C15656"/>
    <w:rsid w:val="00C1728A"/>
    <w:rsid w:val="00C24C30"/>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06D7"/>
    <w:rsid w:val="00CE7733"/>
    <w:rsid w:val="00CF51DB"/>
    <w:rsid w:val="00D043A4"/>
    <w:rsid w:val="00D126E0"/>
    <w:rsid w:val="00D200DA"/>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A3683"/>
    <w:rsid w:val="00DC41AD"/>
    <w:rsid w:val="00DC75F3"/>
    <w:rsid w:val="00DD46F3"/>
    <w:rsid w:val="00DE56F2"/>
    <w:rsid w:val="00DF116D"/>
    <w:rsid w:val="00E17FE7"/>
    <w:rsid w:val="00E30A6F"/>
    <w:rsid w:val="00E46AF7"/>
    <w:rsid w:val="00E55BA0"/>
    <w:rsid w:val="00E60DBC"/>
    <w:rsid w:val="00E7068E"/>
    <w:rsid w:val="00E86B59"/>
    <w:rsid w:val="00E967DA"/>
    <w:rsid w:val="00EA1DA7"/>
    <w:rsid w:val="00EB104F"/>
    <w:rsid w:val="00EC0CCD"/>
    <w:rsid w:val="00ED14BD"/>
    <w:rsid w:val="00ED3219"/>
    <w:rsid w:val="00EE2021"/>
    <w:rsid w:val="00EF3E59"/>
    <w:rsid w:val="00F010DC"/>
    <w:rsid w:val="00F02E2E"/>
    <w:rsid w:val="00F0533E"/>
    <w:rsid w:val="00F0712A"/>
    <w:rsid w:val="00F1048D"/>
    <w:rsid w:val="00F12DEC"/>
    <w:rsid w:val="00F137BA"/>
    <w:rsid w:val="00F1715C"/>
    <w:rsid w:val="00F1768A"/>
    <w:rsid w:val="00F20995"/>
    <w:rsid w:val="00F30576"/>
    <w:rsid w:val="00F310F8"/>
    <w:rsid w:val="00F35939"/>
    <w:rsid w:val="00F45607"/>
    <w:rsid w:val="00F63543"/>
    <w:rsid w:val="00F659EB"/>
    <w:rsid w:val="00F65AA0"/>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UnresolvedMention">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dek@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4e4a6a96-f3e4-483d-987d-304999e1d579"/>
    <ds:schemaRef ds:uri="http://schemas.microsoft.com/office/2006/documentManagement/types"/>
    <ds:schemaRef ds:uri="http://purl.org/dc/terms/"/>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2ECBB589-4474-4889-86D0-247DF43BA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2072</Words>
  <Characters>12225</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24</cp:revision>
  <cp:lastPrinted>2024-02-08T10:57:00Z</cp:lastPrinted>
  <dcterms:created xsi:type="dcterms:W3CDTF">2024-04-15T06:37:00Z</dcterms:created>
  <dcterms:modified xsi:type="dcterms:W3CDTF">2024-04-17T06:04:00Z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